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DC" w:rsidRDefault="008D28DC" w:rsidP="008D28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8DC" w:rsidRDefault="008D28DC" w:rsidP="008D28DC">
      <w:pPr>
        <w:jc w:val="center"/>
        <w:rPr>
          <w:rFonts w:ascii="Times New Roman" w:hAnsi="Times New Roman"/>
          <w:b/>
          <w:sz w:val="28"/>
          <w:szCs w:val="28"/>
        </w:rPr>
      </w:pPr>
      <w:r w:rsidRPr="003B0037">
        <w:rPr>
          <w:rFonts w:ascii="Times New Roman" w:hAnsi="Times New Roman"/>
          <w:b/>
          <w:sz w:val="28"/>
          <w:szCs w:val="28"/>
        </w:rPr>
        <w:t xml:space="preserve">Konieczność inwestowania w kapitał ludzki   </w:t>
      </w:r>
    </w:p>
    <w:p w:rsidR="008D28DC" w:rsidRDefault="008D28DC" w:rsidP="008D28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8DC" w:rsidRPr="003B0037" w:rsidRDefault="008D28DC" w:rsidP="008D28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8DC" w:rsidRDefault="008D28DC" w:rsidP="008D28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Ferdinand</w:t>
      </w:r>
      <w:r w:rsidRPr="008A53CB">
        <w:rPr>
          <w:rFonts w:ascii="Times New Roman" w:hAnsi="Times New Roman"/>
        </w:rPr>
        <w:t xml:space="preserve"> Drucker</w:t>
      </w:r>
      <w:r w:rsidRPr="008A53CB">
        <w:rPr>
          <w:rStyle w:val="Odwoanieprzypisudolnego"/>
        </w:rPr>
        <w:footnoteReference w:id="1"/>
      </w:r>
      <w:r>
        <w:rPr>
          <w:rFonts w:ascii="Times New Roman" w:hAnsi="Times New Roman"/>
        </w:rPr>
        <w:t>,</w:t>
      </w:r>
      <w:r w:rsidRPr="008A53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formułując najważniejsze założe</w:t>
      </w:r>
      <w:r w:rsidRPr="008A53CB">
        <w:rPr>
          <w:rFonts w:ascii="Times New Roman" w:hAnsi="Times New Roman"/>
        </w:rPr>
        <w:t>nia dotyczące prowadzenia przedsiębiorstwa w latach siedemdziesiątych dwudziestego wieku</w:t>
      </w:r>
      <w:r>
        <w:rPr>
          <w:rFonts w:ascii="Times New Roman" w:hAnsi="Times New Roman"/>
        </w:rPr>
        <w:t>,</w:t>
      </w:r>
      <w:r w:rsidRPr="008A53CB">
        <w:rPr>
          <w:rFonts w:ascii="Times New Roman" w:hAnsi="Times New Roman"/>
        </w:rPr>
        <w:t xml:space="preserve"> podkreślał, że właściwym pytaniem w</w:t>
      </w:r>
      <w:r>
        <w:rPr>
          <w:rFonts w:ascii="Times New Roman" w:hAnsi="Times New Roman"/>
        </w:rPr>
        <w:t xml:space="preserve"> odniesieniu do jego funkcjonowania w przyszłości nie jest</w:t>
      </w:r>
      <w:r w:rsidRPr="008A53CB">
        <w:rPr>
          <w:rFonts w:ascii="Times New Roman" w:hAnsi="Times New Roman"/>
        </w:rPr>
        <w:t>: „Co zrobimy jutro?”, ale pytanie: „Co musimy zrobić dzisiaj</w:t>
      </w:r>
      <w:r>
        <w:rPr>
          <w:rFonts w:ascii="Times New Roman" w:hAnsi="Times New Roman"/>
        </w:rPr>
        <w:t>,</w:t>
      </w:r>
      <w:r w:rsidRPr="008A53CB">
        <w:rPr>
          <w:rFonts w:ascii="Times New Roman" w:hAnsi="Times New Roman"/>
        </w:rPr>
        <w:t xml:space="preserve"> żeby </w:t>
      </w:r>
      <w:r>
        <w:rPr>
          <w:rFonts w:ascii="Times New Roman" w:hAnsi="Times New Roman"/>
        </w:rPr>
        <w:t xml:space="preserve">jutro </w:t>
      </w:r>
      <w:r w:rsidRPr="008A53CB">
        <w:rPr>
          <w:rFonts w:ascii="Times New Roman" w:hAnsi="Times New Roman"/>
        </w:rPr>
        <w:t xml:space="preserve">osiągnąć </w:t>
      </w:r>
      <w:r>
        <w:rPr>
          <w:rFonts w:ascii="Times New Roman" w:hAnsi="Times New Roman"/>
        </w:rPr>
        <w:t xml:space="preserve">odpowiednie </w:t>
      </w:r>
      <w:r w:rsidRPr="008A53CB">
        <w:rPr>
          <w:rFonts w:ascii="Times New Roman" w:hAnsi="Times New Roman"/>
        </w:rPr>
        <w:t>wyniki?”. W dwudziestym pierwszym wieku stwierdzenie to nie straciło na ważności, wręcz przeciwnie, nabrało dodatkowej wartości, zwłaszcza w stosunku do niematerialnych aktywów przedsiębiorstwa. W dobie globalizacji, budowania gospodarki opartej na wiedzy</w:t>
      </w:r>
      <w:r>
        <w:rPr>
          <w:rFonts w:ascii="Times New Roman" w:hAnsi="Times New Roman"/>
        </w:rPr>
        <w:t>, nabierających na sile</w:t>
      </w:r>
      <w:r w:rsidRPr="008A53CB">
        <w:rPr>
          <w:rFonts w:ascii="Times New Roman" w:hAnsi="Times New Roman"/>
        </w:rPr>
        <w:t xml:space="preserve"> procesów starzenia się społeczeństw oraz bardzo szybkiego rozwoju nowoczes</w:t>
      </w:r>
      <w:r>
        <w:rPr>
          <w:rFonts w:ascii="Times New Roman" w:hAnsi="Times New Roman"/>
        </w:rPr>
        <w:t>nych technologii informacyjno-</w:t>
      </w:r>
      <w:r w:rsidRPr="008A53CB">
        <w:rPr>
          <w:rFonts w:ascii="Times New Roman" w:hAnsi="Times New Roman"/>
        </w:rPr>
        <w:t>komunikacyjnych wyjątkowego znaczenia nabiera dbałość o kapitał ludzki przedsiębiorstw i zapewnienie jego odpowiedniego poziomu w przyszłości.</w:t>
      </w:r>
      <w:r>
        <w:rPr>
          <w:rFonts w:ascii="Times New Roman" w:hAnsi="Times New Roman"/>
        </w:rPr>
        <w:t xml:space="preserve"> </w:t>
      </w:r>
      <w:r w:rsidRPr="008A53CB">
        <w:rPr>
          <w:rFonts w:ascii="Times New Roman" w:hAnsi="Times New Roman"/>
        </w:rPr>
        <w:t xml:space="preserve">Coraz częściej podkreśla się znaczenie „ludzkiego elementu” niematerialnej wartości przedsiębiorstwa, przede wszystkim w kontekście zdolności wprowadzania innowacji, zdobywania zaufania klientów, tworzenia marki czy reakcji na zmiany. Uczenie się (zarówno pojedynczego pracownika, jak </w:t>
      </w:r>
      <w:r>
        <w:rPr>
          <w:rFonts w:ascii="Times New Roman" w:hAnsi="Times New Roman"/>
        </w:rPr>
        <w:t xml:space="preserve">i </w:t>
      </w:r>
      <w:r w:rsidRPr="008A53CB">
        <w:rPr>
          <w:rFonts w:ascii="Times New Roman" w:hAnsi="Times New Roman"/>
        </w:rPr>
        <w:t>całej organizacji) staje się podstawowym kapitałem pr</w:t>
      </w:r>
      <w:r>
        <w:rPr>
          <w:rFonts w:ascii="Times New Roman" w:hAnsi="Times New Roman"/>
        </w:rPr>
        <w:t>zedsiębiorstwa decydującym o jego</w:t>
      </w:r>
      <w:r w:rsidRPr="008A53CB">
        <w:rPr>
          <w:rFonts w:ascii="Times New Roman" w:hAnsi="Times New Roman"/>
        </w:rPr>
        <w:t xml:space="preserve"> sukcesie. Powszechnie mówi się, że sukces przedsiębiorstwa zależy od ludzi w nim pracujących, a zrozumienie tego</w:t>
      </w:r>
      <w:r>
        <w:rPr>
          <w:rFonts w:ascii="Times New Roman" w:hAnsi="Times New Roman"/>
        </w:rPr>
        <w:t>,</w:t>
      </w:r>
      <w:r w:rsidRPr="008A53CB">
        <w:rPr>
          <w:rFonts w:ascii="Times New Roman" w:hAnsi="Times New Roman"/>
        </w:rPr>
        <w:t xml:space="preserve"> co motywuje ludzi do właściwego z punktu widzenia celów przedsiębiorstwa działania jest kluczowe dla budowy przewagi konkurencyjnej</w:t>
      </w:r>
      <w:r>
        <w:rPr>
          <w:rFonts w:ascii="Times New Roman" w:hAnsi="Times New Roman"/>
        </w:rPr>
        <w:t>.</w:t>
      </w:r>
    </w:p>
    <w:p w:rsidR="008D28DC" w:rsidRPr="00BE3423" w:rsidRDefault="008D28DC" w:rsidP="008D28DC">
      <w:pPr>
        <w:jc w:val="both"/>
        <w:rPr>
          <w:rFonts w:ascii="Times New Roman" w:hAnsi="Times New Roman"/>
        </w:rPr>
      </w:pPr>
      <w:r w:rsidRPr="00BE3423">
        <w:rPr>
          <w:rFonts w:ascii="Times New Roman" w:hAnsi="Times New Roman"/>
        </w:rPr>
        <w:t>W przypadku Polski konieczność inwestowania w kapitał ludzki ma szczególny wymiar społeczny związany z procesami integracyjnymi z Unią Europejską i postrzegani</w:t>
      </w:r>
      <w:r>
        <w:rPr>
          <w:rFonts w:ascii="Times New Roman" w:hAnsi="Times New Roman"/>
        </w:rPr>
        <w:t>em nas poza granicami kraju, gdzie funkcjonuje</w:t>
      </w:r>
      <w:r w:rsidRPr="00BE3423">
        <w:rPr>
          <w:rFonts w:ascii="Times New Roman" w:hAnsi="Times New Roman"/>
        </w:rPr>
        <w:t xml:space="preserve"> negatywny stereotyp Polaka jako biednego i cywilizacyjnie zacofanego. Zmiany jakościowe będące wynikiem zaplanowanych skutecznych rozwiązań w obszarze inwestowania w kapitał ludzki polskich przedsiębiorstw mogą znacząco poprawić wizerunek Polski w Europie.</w:t>
      </w:r>
    </w:p>
    <w:p w:rsidR="008D28DC" w:rsidRDefault="008D28DC" w:rsidP="008D28DC">
      <w:pPr>
        <w:jc w:val="both"/>
        <w:rPr>
          <w:rFonts w:ascii="Times New Roman" w:hAnsi="Times New Roman"/>
          <w:iCs/>
        </w:rPr>
      </w:pPr>
      <w:r w:rsidRPr="003D78C2">
        <w:rPr>
          <w:rFonts w:ascii="Times New Roman" w:hAnsi="Times New Roman"/>
          <w:iCs/>
        </w:rPr>
        <w:t>Założenia podstawowego dokumentu strategicznego</w:t>
      </w:r>
      <w:r w:rsidRPr="003D78C2">
        <w:rPr>
          <w:rFonts w:ascii="Times New Roman" w:hAnsi="Times New Roman"/>
          <w:iCs/>
          <w:vertAlign w:val="superscript"/>
        </w:rPr>
        <w:footnoteReference w:id="2"/>
      </w:r>
      <w:r w:rsidRPr="003D78C2">
        <w:rPr>
          <w:rFonts w:ascii="Times New Roman" w:hAnsi="Times New Roman"/>
          <w:iCs/>
        </w:rPr>
        <w:t xml:space="preserve"> na najbliższe lata, tj. Strategii Europa 2020, mówią o zrównoważonym, inteligentnym rozwoju sprzyjającym włączeniu społecznemu. Działania nastawione głównie na znaczący wzrost wiedzy i umiejętności Europejczyków mają zapewnić stworzenie nowych miejsc pracy i dalszy rozwój zjednoczonej Europy. Duże różnice w poziomie rozwoju społeczno – gospodarczego pomiędzy </w:t>
      </w:r>
      <w:r w:rsidRPr="003D78C2">
        <w:rPr>
          <w:rFonts w:ascii="Times New Roman" w:hAnsi="Times New Roman"/>
          <w:i/>
          <w:iCs/>
        </w:rPr>
        <w:t xml:space="preserve">starymi </w:t>
      </w:r>
      <w:r w:rsidRPr="003D78C2">
        <w:rPr>
          <w:rFonts w:ascii="Times New Roman" w:hAnsi="Times New Roman"/>
          <w:iCs/>
        </w:rPr>
        <w:t xml:space="preserve">i </w:t>
      </w:r>
      <w:r w:rsidRPr="003D78C2">
        <w:rPr>
          <w:rFonts w:ascii="Times New Roman" w:hAnsi="Times New Roman"/>
          <w:i/>
          <w:iCs/>
        </w:rPr>
        <w:t xml:space="preserve">nowymi </w:t>
      </w:r>
      <w:r w:rsidRPr="003D78C2">
        <w:rPr>
          <w:rFonts w:ascii="Times New Roman" w:hAnsi="Times New Roman"/>
          <w:iCs/>
        </w:rPr>
        <w:t xml:space="preserve">krajami Unii sprawiają jednak, że jest to przede wszystkim duże wyzwanie dla </w:t>
      </w:r>
      <w:r w:rsidRPr="003D78C2">
        <w:rPr>
          <w:rFonts w:ascii="Times New Roman" w:hAnsi="Times New Roman"/>
          <w:i/>
          <w:iCs/>
        </w:rPr>
        <w:t xml:space="preserve">nowych </w:t>
      </w:r>
      <w:r w:rsidRPr="003D78C2">
        <w:rPr>
          <w:rFonts w:ascii="Times New Roman" w:hAnsi="Times New Roman"/>
          <w:iCs/>
        </w:rPr>
        <w:t>krajów Unii, w tym dla Polski. Głównym narzędziem niwelowania różnic jest program funduszy strukturalnych. Siłą napędową wszystkich gospodarek są przedsiębiorstwa, zwłaszcza sektor małych i średnich przedsiębiorstw (MŚP). Ich konkurencyjność na otwartym rynku w dużej mierze zależy od jakości przygotowania zawodowego i nastawienia osób w nich pracujących. Lepsze przygotowanie kadr to większa konkurencyjność przedsiębiorstw, a przez to konkurencyjność poszczególnych regionów, krajów, wreszcie Unii Europejskiej w globalnej gospodarce.</w:t>
      </w:r>
    </w:p>
    <w:p w:rsidR="008D28DC" w:rsidRDefault="008D28DC" w:rsidP="008D28DC">
      <w:pPr>
        <w:jc w:val="both"/>
        <w:rPr>
          <w:rFonts w:ascii="Times New Roman" w:hAnsi="Times New Roman"/>
        </w:rPr>
      </w:pPr>
      <w:r w:rsidRPr="00BE3423">
        <w:rPr>
          <w:rFonts w:ascii="Times New Roman" w:hAnsi="Times New Roman"/>
        </w:rPr>
        <w:t>Uwzględniając aspekt kapitału ludzkiego, czynniki wpływające na konkurencyjność przedsiębiorstw można podzielić na zewnętrzne (egzogeniczne)  ̶  odnoszące się do otoczenia oraz wewnętrzne (endogeniczne)  ̶  związane ze specyfiką funkcjonowania przedsiębiorstwa. Czynniki zewnętrzne wyrażają niejako stronę podażową kapitału, a czynniki wewnętrzne determinują możliwości właściwego wykorzystania posiadanego kapitału. Wśród czynników zewnętrznych ważna jest aktualna i prognozowana sytuacja na lokalnym, regionalnym czy krajowym rynku pracy, a także zachodzące w społeczeństwie procesy demograficzne oraz przemiany jakościowe obserwowane w strukturze zatrudnienia. Czynniki wewnętrzne są związane z nastawieniem właściciela/przedsiębiorcy do inwestowania w kapitał ludzki oraz z samym przedsiębiorstwem. Są to przede wszystkim zdolność adaptacji przedsiębiorstwa do zmieniającego się otoczenia oraz możliwość zapewnienia kapitału ludzkiego odpowiadającego potrzebom obecnym i przyszłym.</w:t>
      </w:r>
    </w:p>
    <w:p w:rsidR="008D28DC" w:rsidRPr="003D78C2" w:rsidRDefault="008D28DC" w:rsidP="008D28DC">
      <w:pPr>
        <w:jc w:val="both"/>
        <w:rPr>
          <w:rFonts w:ascii="Times New Roman" w:hAnsi="Times New Roman"/>
          <w:iCs/>
        </w:rPr>
      </w:pPr>
      <w:r w:rsidRPr="003D78C2">
        <w:rPr>
          <w:rFonts w:ascii="Times New Roman" w:hAnsi="Times New Roman"/>
          <w:iCs/>
        </w:rPr>
        <w:t xml:space="preserve">Długookresowe prognozy zapotrzebowania na siłę roboczą w Europie wskazują na konieczność wprowadzenia dużych zmian zarówno na poziomie poszczególnych krajów, jak </w:t>
      </w:r>
      <w:r w:rsidRPr="003D78C2">
        <w:rPr>
          <w:rFonts w:ascii="Times New Roman" w:hAnsi="Times New Roman"/>
          <w:iCs/>
        </w:rPr>
        <w:br/>
        <w:t>i grup zawodów. Osiągnięcie założonych wskaźników dla poszczególnych poziomów kwalifikacji wiązać się będzie z prowadzeniem polityki intensywnego wzrostu kwalifikacji osób pracujących we wszystkich grupach wiekowych, zwiększeniem aktywności zawodowej kobiet oraz osób ze starszych grup wiekowych. Prognozy zapotrzebowania na siłę roboczą w Europie, uwzględniające założenia zmodyfikowanej Strategii Lizbońskiej i innych dokumentów o znaczeniu strategicznym, mówią o ogólnym wzroście miejsc pracy w latach 2006–2015 o 13 mln, przy czym ma to być wynikiem wzrostu zapotrzebowania na wysoko kwalifikowanych pracowników o blisko 12,5 mln miejsc (ISCED</w:t>
      </w:r>
      <w:r w:rsidRPr="003D78C2">
        <w:rPr>
          <w:rFonts w:ascii="Times New Roman" w:hAnsi="Times New Roman"/>
          <w:iCs/>
          <w:vertAlign w:val="superscript"/>
        </w:rPr>
        <w:footnoteReference w:id="3"/>
      </w:r>
      <w:r w:rsidRPr="003D78C2">
        <w:rPr>
          <w:rFonts w:ascii="Times New Roman" w:hAnsi="Times New Roman"/>
          <w:iCs/>
        </w:rPr>
        <w:t xml:space="preserve"> poziom 5–6), blisko 9,5 mln wzrostu zapotrzebowania na średnio wykwalifikowaną kadrę (ISCED poziom 3–4) oraz spadku o blisko 8,5 mln miejsc w zakresie osób o niskich kwalifikacjach (ISCED poziom </w:t>
      </w:r>
      <w:r w:rsidRPr="003D78C2">
        <w:rPr>
          <w:rFonts w:ascii="Times New Roman" w:hAnsi="Times New Roman"/>
          <w:iCs/>
        </w:rPr>
        <w:br/>
        <w:t>0–2)</w:t>
      </w:r>
      <w:r w:rsidRPr="003D78C2">
        <w:rPr>
          <w:rFonts w:ascii="Times New Roman" w:hAnsi="Times New Roman"/>
          <w:iCs/>
          <w:vertAlign w:val="superscript"/>
        </w:rPr>
        <w:footnoteReference w:id="4"/>
      </w:r>
      <w:r w:rsidRPr="003D78C2">
        <w:rPr>
          <w:rFonts w:ascii="Times New Roman" w:hAnsi="Times New Roman"/>
          <w:iCs/>
        </w:rPr>
        <w:t xml:space="preserve">. Według danych statystycznych struktura siły roboczej (dane z 2007 r.) w Europie przedstawia się następująco: 38,1% osób posiada kwalifikacje niskie (ISCED poziom 0–2), 42,5% kwalifikacje średnie (poziom 3–4) oraz 19,3% kwalifikacje wysokie (poziom 5–6). Zmiany w zapotrzebowaniu na wykwalifikowanych pracowników pokazują konieczność szybkiego wzrostu udziału tych osób w strukturze zatrudnienia Unii Europejskiej (UE 25) </w:t>
      </w:r>
      <w:r w:rsidRPr="003D78C2">
        <w:rPr>
          <w:rFonts w:ascii="Times New Roman" w:hAnsi="Times New Roman"/>
          <w:iCs/>
        </w:rPr>
        <w:br/>
        <w:t xml:space="preserve">w najbliższych latach (do 2020 r.) średnio o 41,6% w porównaniu do stanu z roku 2007, przy czym znacznie większy wzrost oczekiwany jest w populacji kobiet (o 46,6%) niż mężczyzn (37,6%). Przewidywany udział osób z wysokimi kwalifikacjami wynosić ma w Europie </w:t>
      </w:r>
      <w:r w:rsidRPr="003D78C2">
        <w:rPr>
          <w:rFonts w:ascii="Times New Roman" w:hAnsi="Times New Roman"/>
          <w:iCs/>
        </w:rPr>
        <w:br/>
        <w:t>w 2020 r. 26,0%, ze średnimi 44,7%, a z niskimi 29,3%. Wartym odnotowania jest fakt zacierania się różnic pomiędzy strukturą kwalifikacji kobiet i mężczyzn. W 2007 r. różnica między odsetkiem wysoko wykwalifikowanych kobiet i mężczyzn wynosiła 1,5 punktu procentowego na niekorzyść kobiet. Według prognoz w 2013 r. różnica ta ma zmniejszyć się do 0,8 punktu procentowego, a w 2020 r. tylko do 0,2. Jest to skutek znacznego wzrostu aktywności zawodowej kobiet w ostatnich latach oraz aktualnych i planowanych działań Unii w zakresie podnoszenia kwalifikacji kobiet, jak też dostosowania ich do potrzeb rynku pracy</w:t>
      </w:r>
      <w:r w:rsidRPr="003D78C2">
        <w:rPr>
          <w:rFonts w:ascii="Times New Roman" w:hAnsi="Times New Roman"/>
          <w:iCs/>
          <w:vertAlign w:val="superscript"/>
        </w:rPr>
        <w:footnoteReference w:id="5"/>
      </w:r>
      <w:r w:rsidRPr="003D78C2">
        <w:rPr>
          <w:rFonts w:ascii="Times New Roman" w:hAnsi="Times New Roman"/>
          <w:iCs/>
        </w:rPr>
        <w:t xml:space="preserve">. </w:t>
      </w:r>
    </w:p>
    <w:p w:rsidR="008D28DC" w:rsidRPr="00CA48CC" w:rsidRDefault="008D28DC" w:rsidP="008D28DC">
      <w:pPr>
        <w:jc w:val="both"/>
        <w:rPr>
          <w:rFonts w:ascii="Times New Roman" w:hAnsi="Times New Roman"/>
          <w:iCs/>
        </w:rPr>
      </w:pPr>
      <w:r w:rsidRPr="00CA48CC">
        <w:rPr>
          <w:rFonts w:ascii="Times New Roman" w:hAnsi="Times New Roman"/>
          <w:iCs/>
        </w:rPr>
        <w:t xml:space="preserve">Obserwowane w Polsce dysproporcje między formalnym poziomem wykształcenia </w:t>
      </w:r>
      <w:r w:rsidRPr="00CA48CC">
        <w:rPr>
          <w:rFonts w:ascii="Times New Roman" w:hAnsi="Times New Roman"/>
          <w:iCs/>
        </w:rPr>
        <w:br/>
        <w:t xml:space="preserve">a praktycznymi umiejętnościami pracowników to przede wszystkim wynik statycznego charakteru zdobytej w trakcie edukacji wiedzy formalnej. Dość powszechne jest w Polsce przekonanie o wystarczającym poziomie umiejętności wyniesionych ze szkoły. Szkoła natomiast powinna dać solidne podstawy, które trzeba potem aktualizować przez całe życie. Bez nawyku ciągłego doskonalenia swoich umiejętności postęp technologiczny i czas spowodują znaczną deprecjację naszych kwalifikacji. </w:t>
      </w:r>
    </w:p>
    <w:p w:rsidR="008D28DC" w:rsidRPr="00CA48CC" w:rsidRDefault="008D28DC" w:rsidP="008D28DC">
      <w:pPr>
        <w:jc w:val="both"/>
        <w:rPr>
          <w:rFonts w:ascii="Times New Roman" w:hAnsi="Times New Roman"/>
          <w:iCs/>
        </w:rPr>
      </w:pPr>
      <w:r w:rsidRPr="00CA48CC">
        <w:rPr>
          <w:rFonts w:ascii="Times New Roman" w:hAnsi="Times New Roman"/>
          <w:iCs/>
        </w:rPr>
        <w:t>Na odczuwany obecnie niski poziom kompetencji polskich pracowników wpływ miało wiele czynników. Poza brakami „dobrych nawyków” w obszarze kształcenia ustawicznego, kolejne to przede wszystkim słabe finansowanie systemu oświaty oraz szkolnictwa wyższego, jak też niedoceniane znaczenia edukacji jako ważnego czynnika społeczno-kulturowego. „Nie jesteśmy tak bogaci, aby oszczędzać na oświacie”– często cytowane przez teoretyków wprowadzających zasady kształcenia ustawicznego słowa szwedzkiego premiera Olofa Palme nabierają w obecnych uwarunkowaniach coraz głębszego znaczenia</w:t>
      </w:r>
      <w:r w:rsidRPr="00CA48CC">
        <w:rPr>
          <w:rFonts w:ascii="Times New Roman" w:hAnsi="Times New Roman"/>
          <w:iCs/>
          <w:vertAlign w:val="superscript"/>
        </w:rPr>
        <w:footnoteReference w:id="6"/>
      </w:r>
      <w:r w:rsidRPr="00CA48CC">
        <w:rPr>
          <w:rFonts w:ascii="Times New Roman" w:hAnsi="Times New Roman"/>
          <w:iCs/>
        </w:rPr>
        <w:t>. Wieloletnie inwestowanie w ludzi w Skandynawii przyniosło wymierne efekty. Kraje tego półwyspu od lat przodują bowiem zarówno pod względem jakości kształcenia, jak i innowacyjności w różnych obszarach życia. Najwyższy jest tam również wskaźnik wykorzystania nowoczesnych technologii we wszystkich typach przedsiębiorstw. Fińscy gimnazjaliści zajmują najwyższe lokaty w teście kompetencji PISA.</w:t>
      </w:r>
    </w:p>
    <w:p w:rsidR="008D28DC" w:rsidRPr="00CA48CC" w:rsidRDefault="008D28DC" w:rsidP="008D28DC">
      <w:pPr>
        <w:jc w:val="both"/>
        <w:rPr>
          <w:rFonts w:ascii="Times New Roman" w:hAnsi="Times New Roman"/>
          <w:iCs/>
        </w:rPr>
      </w:pPr>
      <w:r w:rsidRPr="00CA48CC">
        <w:rPr>
          <w:rFonts w:ascii="Times New Roman" w:hAnsi="Times New Roman"/>
          <w:iCs/>
        </w:rPr>
        <w:t xml:space="preserve">Zmiany na rynku pracy oraz wpływ tych zmian na poszczególne podmioty gospodarcze sprawia, że rynek pracy należy traktować jako ważny czynnik kształtujący zachowania pracowników wobec przedsiębiorstw. Coraz szybsza dezaktualizacja wiedzy i umiejętności zdobytych w ramach edukacji formalnej, konieczność podniesienia lub nabycia nowych kompetencji związanych z rozwojem nowoczesnych technologii informacyjno-komunikacyjnych, upowszechnienie elastycznych form pracy prowadzą z jednej strony do niestabilności zatrudnienia, a z drugiej, do zwiększenia mobilności pracowników </w:t>
      </w:r>
      <w:r w:rsidRPr="00CA48CC">
        <w:rPr>
          <w:rFonts w:ascii="Times New Roman" w:hAnsi="Times New Roman"/>
          <w:iCs/>
        </w:rPr>
        <w:br/>
        <w:t>i zwiększenia roli świadomego planowania ich rozwoju.</w:t>
      </w:r>
    </w:p>
    <w:p w:rsidR="008D28DC" w:rsidRPr="00CA48CC" w:rsidRDefault="008D28DC" w:rsidP="008D28DC">
      <w:pPr>
        <w:jc w:val="both"/>
        <w:rPr>
          <w:rFonts w:ascii="Times New Roman" w:hAnsi="Times New Roman"/>
          <w:iCs/>
        </w:rPr>
      </w:pPr>
      <w:r w:rsidRPr="00CA48CC">
        <w:rPr>
          <w:rFonts w:ascii="Times New Roman" w:hAnsi="Times New Roman"/>
          <w:iCs/>
        </w:rPr>
        <w:t xml:space="preserve">Wśród procesów demograficznych </w:t>
      </w:r>
      <w:r>
        <w:rPr>
          <w:rFonts w:ascii="Times New Roman" w:hAnsi="Times New Roman"/>
          <w:iCs/>
        </w:rPr>
        <w:t xml:space="preserve">o pierwszorzędnym znaczeniu dla sytuacji na rynku pracy </w:t>
      </w:r>
      <w:r w:rsidRPr="00CA48CC">
        <w:rPr>
          <w:rFonts w:ascii="Times New Roman" w:hAnsi="Times New Roman"/>
          <w:iCs/>
        </w:rPr>
        <w:t>przede wszystkim wskazać trzeba proces starzenia się społeczeństwa na skutek spadku dzietności oraz wydłużenia się życia ludzkiego. Procesy związane ze starzeniem się społeczeństwa wymagają od państwa, jak i od pracodawców m.in. zwiększenia uwagi w obszarze aktywności zawodowej i zaangażowania starszych grup wiekowych (głównie 50+). Działania te muszą być wspomagane zarówno programami zorientowanymi na podniesienie kwalifikacji osób w tych grupach wiekowych, jak też szeroką promocją zmian postaw wobec kształcenia i zatrudniania osób w starszym wieku (dotyczy to tak pracodawców, jak i pracowników).</w:t>
      </w:r>
    </w:p>
    <w:p w:rsidR="008D28DC" w:rsidRDefault="008D28DC" w:rsidP="008D28DC">
      <w:pPr>
        <w:jc w:val="both"/>
        <w:rPr>
          <w:rFonts w:ascii="Times New Roman" w:hAnsi="Times New Roman"/>
          <w:iCs/>
        </w:rPr>
      </w:pPr>
      <w:r w:rsidRPr="00D37ECD">
        <w:rPr>
          <w:rFonts w:ascii="Times New Roman" w:hAnsi="Times New Roman"/>
          <w:iCs/>
        </w:rPr>
        <w:t>Polskie społeczeństwo, podobnie jak społeczeństwa wielu krajów rozwiniętych, podlega procesowi starzenia. Według prognoz GUS w 2035 r. osoby powyżej pięćdziesiątego roku życia będą stanowiły 47,6% ogółu ludności (Dane GUS; http://www.stat.gov.pl/gus). Zmiany sytuacji demograficznej dokonujące się w krajach europejskich, w tym w Polsce sprawiają, że coraz większego znaczenia nabiera</w:t>
      </w:r>
      <w:r>
        <w:rPr>
          <w:rFonts w:ascii="Times New Roman" w:hAnsi="Times New Roman"/>
          <w:iCs/>
        </w:rPr>
        <w:t xml:space="preserve"> konieczność</w:t>
      </w:r>
      <w:r w:rsidRPr="00D37ECD">
        <w:rPr>
          <w:rFonts w:ascii="Times New Roman" w:hAnsi="Times New Roman"/>
          <w:iCs/>
        </w:rPr>
        <w:t xml:space="preserve"> aktywizacji zawodowej osób w wieku 50+. Niezbędne są i będą działania zmierzające do pełnego wykorzystania potencjału osób starszych. Konieczne są prace w zakresie przygotowania różnych grup docelowych na nadchodzące zmiany. Z jednej strony chodzi o aktywizację osób 50+ głównie w sektorach usługowych, z drugiej o przygotowanie pracodawców, instytucji rynku pracy i instytucji szkoleniowych do sytuacji, w której na rynku pracy będą przeważały osoby w wieku 50+. </w:t>
      </w:r>
    </w:p>
    <w:p w:rsidR="008D28DC" w:rsidRPr="00BF4C0C" w:rsidRDefault="008D28DC" w:rsidP="008D28DC">
      <w:pPr>
        <w:jc w:val="both"/>
        <w:rPr>
          <w:rFonts w:ascii="Times New Roman" w:hAnsi="Times New Roman"/>
        </w:rPr>
      </w:pPr>
      <w:r w:rsidRPr="00D37ECD">
        <w:rPr>
          <w:rFonts w:ascii="Times New Roman" w:hAnsi="Times New Roman"/>
          <w:iCs/>
        </w:rPr>
        <w:t>Procesy starzenia się społeczeńs</w:t>
      </w:r>
      <w:r>
        <w:rPr>
          <w:rFonts w:ascii="Times New Roman" w:hAnsi="Times New Roman"/>
          <w:iCs/>
        </w:rPr>
        <w:t>twa polskiego nabierają tempa, a</w:t>
      </w:r>
      <w:r w:rsidRPr="00D37ECD">
        <w:rPr>
          <w:rFonts w:ascii="Times New Roman" w:hAnsi="Times New Roman"/>
          <w:iCs/>
        </w:rPr>
        <w:t xml:space="preserve"> problemy aktywizacji zawodowej osób w wieku 50+ urastają do rangi kluczowych działań na rynku pracy. Jest to problem o zasięgu ogólnoeuropejskim, kluczowy także dla rozwoju Unii Europejskiej w najbliższych dziesięcioleciach. W Polsce dużo inicjatyw w tym obszarze zostało już wprowadzonych, m.in. za sprawą programów rządowych, projektów realizowanych ze środków Europejskiego Funduszu Społecznego, czy Programu Uczenia się przez całe życie. Szczególnie dużo inicjatyw powstało w 2012 r., który dedykowany był osobom starszym. Skala problemu powoduje jednak potrzebę ciągłego poszukiwania i doskonalenia przyjętych rozwiązań. </w:t>
      </w:r>
    </w:p>
    <w:p w:rsidR="008D28DC" w:rsidRDefault="008D28DC" w:rsidP="008D28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7C64" w:rsidRPr="008D28DC" w:rsidRDefault="008D28DC" w:rsidP="008D28DC">
      <w:pPr>
        <w:ind w:left="5040"/>
        <w:jc w:val="both"/>
        <w:rPr>
          <w:rFonts w:ascii="Times New Roman" w:hAnsi="Times New Roman"/>
          <w:i/>
        </w:rPr>
      </w:pPr>
      <w:r w:rsidRPr="001A3189">
        <w:rPr>
          <w:rFonts w:ascii="Times New Roman" w:hAnsi="Times New Roman"/>
          <w:i/>
        </w:rPr>
        <w:t>Dorota Kwiatkowska-Ciotucha</w:t>
      </w:r>
    </w:p>
    <w:sectPr w:rsidR="00D77C64" w:rsidRPr="008D28DC" w:rsidSect="008D28DC">
      <w:headerReference w:type="default" r:id="rId8"/>
      <w:pgSz w:w="11900" w:h="16840"/>
      <w:pgMar w:top="2694" w:right="1800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C2" w:rsidRDefault="00E212C2">
      <w:r>
        <w:separator/>
      </w:r>
    </w:p>
  </w:endnote>
  <w:endnote w:type="continuationSeparator" w:id="0">
    <w:p w:rsidR="00E212C2" w:rsidRDefault="00E2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C2" w:rsidRDefault="00E212C2">
      <w:r>
        <w:separator/>
      </w:r>
    </w:p>
  </w:footnote>
  <w:footnote w:type="continuationSeparator" w:id="0">
    <w:p w:rsidR="00E212C2" w:rsidRDefault="00E212C2">
      <w:r>
        <w:continuationSeparator/>
      </w:r>
    </w:p>
  </w:footnote>
  <w:footnote w:id="1">
    <w:p w:rsidR="008D28DC" w:rsidRPr="00DC6293" w:rsidRDefault="008D28DC" w:rsidP="008D28DC">
      <w:pPr>
        <w:pStyle w:val="Tekstprzypisukocowego"/>
        <w:rPr>
          <w:lang w:val="pl-PL"/>
        </w:rPr>
      </w:pPr>
      <w:r>
        <w:rPr>
          <w:rStyle w:val="Odwoanieprzypisudolnego"/>
        </w:rPr>
        <w:footnoteRef/>
      </w:r>
      <w:r w:rsidRPr="00171CD1">
        <w:rPr>
          <w:lang w:val="pl-PL"/>
        </w:rPr>
        <w:t> </w:t>
      </w:r>
      <w:r>
        <w:rPr>
          <w:lang w:val="pl-PL"/>
        </w:rPr>
        <w:t>P.F. Drucker,</w:t>
      </w:r>
      <w:r w:rsidRPr="00DC6293">
        <w:rPr>
          <w:lang w:val="pl-PL"/>
        </w:rPr>
        <w:t xml:space="preserve"> </w:t>
      </w:r>
      <w:r w:rsidRPr="00DC6293">
        <w:rPr>
          <w:i/>
          <w:lang w:val="pl-PL"/>
        </w:rPr>
        <w:t>Pięć najważniejszych pytań dotyczących twojej firmy</w:t>
      </w:r>
      <w:r w:rsidRPr="00992A63">
        <w:rPr>
          <w:lang w:val="pl-PL"/>
        </w:rPr>
        <w:t>,</w:t>
      </w:r>
      <w:r w:rsidRPr="00DC6293">
        <w:rPr>
          <w:i/>
          <w:lang w:val="pl-PL"/>
        </w:rPr>
        <w:t xml:space="preserve"> </w:t>
      </w:r>
      <w:r w:rsidRPr="00DC6293">
        <w:rPr>
          <w:lang w:val="pl-PL"/>
        </w:rPr>
        <w:t xml:space="preserve">Wolters Kluwer </w:t>
      </w:r>
      <w:r>
        <w:rPr>
          <w:lang w:val="pl-PL"/>
        </w:rPr>
        <w:t xml:space="preserve">Polska </w:t>
      </w:r>
      <w:r w:rsidRPr="00DC6293">
        <w:rPr>
          <w:lang w:val="pl-PL"/>
        </w:rPr>
        <w:t xml:space="preserve">Sp. z o.o., Warszawa 2011, s. 20. </w:t>
      </w:r>
    </w:p>
  </w:footnote>
  <w:footnote w:id="2">
    <w:p w:rsidR="008D28DC" w:rsidRDefault="008D28DC" w:rsidP="008D28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5ABB">
        <w:rPr>
          <w:rFonts w:ascii="TimesNewRoman,Bold" w:hAnsi="TimesNewRoman,Bold" w:cs="TimesNewRoman,Bold"/>
          <w:bCs/>
          <w:i/>
        </w:rPr>
        <w:t xml:space="preserve">EUROPA 2020. Strategia na rzecz inteligentnego i zrównoważonego rozwoju sprzyjającego włączeniu społecznemu, </w:t>
      </w:r>
      <w:r w:rsidRPr="00A65ABB">
        <w:rPr>
          <w:rFonts w:ascii="TimesNewRoman,Bold" w:hAnsi="TimesNewRoman,Bold" w:cs="TimesNewRoman,Bold"/>
          <w:bCs/>
        </w:rPr>
        <w:t>Komunikat Komi</w:t>
      </w:r>
      <w:r>
        <w:rPr>
          <w:rFonts w:ascii="TimesNewRoman,Bold" w:hAnsi="TimesNewRoman,Bold" w:cs="TimesNewRoman,Bold"/>
          <w:bCs/>
        </w:rPr>
        <w:t>sji Europejskiej, Bruksela 2010</w:t>
      </w:r>
      <w:r>
        <w:rPr>
          <w:rFonts w:ascii="TimesNewRoman,BoldItalic" w:eastAsia="TimesNewRoman" w:hAnsi="TimesNewRoman,BoldItalic"/>
        </w:rPr>
        <w:t>.</w:t>
      </w:r>
    </w:p>
  </w:footnote>
  <w:footnote w:id="3">
    <w:p w:rsidR="008D28DC" w:rsidRPr="00DC3D14" w:rsidRDefault="008D28DC" w:rsidP="008D28DC">
      <w:pPr>
        <w:pStyle w:val="Tekstprzypisudolnego"/>
      </w:pPr>
      <w:r>
        <w:rPr>
          <w:rStyle w:val="Odwoanieprzypisudolnego"/>
        </w:rPr>
        <w:footnoteRef/>
      </w:r>
      <w:r w:rsidRPr="00DC3D14">
        <w:t xml:space="preserve"> </w:t>
      </w:r>
      <w:r w:rsidRPr="002F7130">
        <w:t xml:space="preserve">ISCED </w:t>
      </w:r>
      <w:r w:rsidRPr="00D6732A">
        <w:t>(</w:t>
      </w:r>
      <w:r w:rsidRPr="00D6732A">
        <w:rPr>
          <w:rFonts w:eastAsia="TimesNewRoman"/>
          <w:i/>
          <w:iCs/>
        </w:rPr>
        <w:t>International</w:t>
      </w:r>
      <w:r w:rsidRPr="00D6732A">
        <w:rPr>
          <w:rFonts w:ascii="TimesNewRoman,BoldItalic" w:eastAsia="TimesNewRoman" w:hAnsi="TimesNewRoman,BoldItalic"/>
          <w:i/>
          <w:iCs/>
        </w:rPr>
        <w:t xml:space="preserve"> Standard Classification of Education</w:t>
      </w:r>
      <w:r w:rsidRPr="00D6732A">
        <w:rPr>
          <w:rFonts w:ascii="TimesNewRoman,BoldItalic" w:eastAsia="TimesNewRoman" w:hAnsi="TimesNewRoman,BoldItalic"/>
          <w:iCs/>
        </w:rPr>
        <w:t>),</w:t>
      </w:r>
      <w:r w:rsidRPr="00DC3D14">
        <w:rPr>
          <w:rFonts w:ascii="TimesNewRoman,BoldItalic" w:eastAsia="TimesNewRoman" w:hAnsi="TimesNewRoman,BoldItalic"/>
        </w:rPr>
        <w:t xml:space="preserve"> w najnowszej</w:t>
      </w:r>
      <w:r>
        <w:rPr>
          <w:rFonts w:ascii="TimesNewRoman,BoldItalic" w:eastAsia="TimesNewRoman" w:hAnsi="TimesNewRoman,BoldItalic"/>
        </w:rPr>
        <w:t>,</w:t>
      </w:r>
      <w:r w:rsidRPr="00DC3D14">
        <w:rPr>
          <w:rFonts w:ascii="TimesNewRoman,BoldItalic" w:eastAsia="TimesNewRoman" w:hAnsi="TimesNewRoman,BoldItalic"/>
        </w:rPr>
        <w:t xml:space="preserve"> obowiązującej od 1997 r. klasyfikacji wyróżnia się 7 poziomów </w:t>
      </w:r>
      <w:r>
        <w:rPr>
          <w:rFonts w:ascii="TimesNewRoman,BoldItalic" w:eastAsia="TimesNewRoman" w:hAnsi="TimesNewRoman,BoldItalic"/>
        </w:rPr>
        <w:t>od 0 do</w:t>
      </w:r>
      <w:r w:rsidRPr="00DC3D14">
        <w:rPr>
          <w:rFonts w:ascii="TimesNewRoman,BoldItalic" w:eastAsia="TimesNewRoman" w:hAnsi="TimesNewRoman,BoldItalic"/>
        </w:rPr>
        <w:t xml:space="preserve"> 6. W odniesieniu do polskiego systemu edukacji poszczególne poziomy oznaczają: 0 </w:t>
      </w:r>
      <w:r>
        <w:t xml:space="preserve">– </w:t>
      </w:r>
      <w:r w:rsidRPr="00DC3D14">
        <w:rPr>
          <w:rFonts w:ascii="TimesNewRoman,BoldItalic" w:eastAsia="TimesNewRoman" w:hAnsi="TimesNewRoman,BoldItalic"/>
        </w:rPr>
        <w:t xml:space="preserve">przedszkole, 1 </w:t>
      </w:r>
      <w:r>
        <w:t xml:space="preserve">– </w:t>
      </w:r>
      <w:r w:rsidRPr="00DC3D14">
        <w:rPr>
          <w:rFonts w:ascii="TimesNewRoman,BoldItalic" w:eastAsia="TimesNewRoman" w:hAnsi="TimesNewRoman,BoldItalic"/>
        </w:rPr>
        <w:t xml:space="preserve">szkoła podstawowa, 2 </w:t>
      </w:r>
      <w:r>
        <w:t xml:space="preserve">– </w:t>
      </w:r>
      <w:r w:rsidRPr="00DC3D14">
        <w:rPr>
          <w:rFonts w:ascii="TimesNewRoman,BoldItalic" w:eastAsia="TimesNewRoman" w:hAnsi="TimesNewRoman,BoldItalic"/>
        </w:rPr>
        <w:t xml:space="preserve">gimnazjum, 3 </w:t>
      </w:r>
      <w:r>
        <w:t xml:space="preserve">– </w:t>
      </w:r>
      <w:r w:rsidRPr="00DC3D14">
        <w:rPr>
          <w:rFonts w:ascii="TimesNewRoman,BoldItalic" w:eastAsia="TimesNewRoman" w:hAnsi="TimesNewRoman,BoldItalic"/>
        </w:rPr>
        <w:t xml:space="preserve">szkolnictwo średnie, </w:t>
      </w:r>
      <w:r>
        <w:rPr>
          <w:rFonts w:ascii="TimesNewRoman,BoldItalic" w:eastAsia="TimesNewRoman" w:hAnsi="TimesNewRoman,BoldItalic"/>
        </w:rPr>
        <w:br/>
      </w:r>
      <w:r w:rsidRPr="00DC3D14">
        <w:rPr>
          <w:rFonts w:ascii="TimesNewRoman,BoldItalic" w:eastAsia="TimesNewRoman" w:hAnsi="TimesNewRoman,BoldItalic"/>
        </w:rPr>
        <w:t xml:space="preserve">4 </w:t>
      </w:r>
      <w:r>
        <w:t xml:space="preserve">– </w:t>
      </w:r>
      <w:r w:rsidRPr="00DC3D14">
        <w:rPr>
          <w:rFonts w:ascii="TimesNewRoman,BoldItalic" w:eastAsia="TimesNewRoman" w:hAnsi="TimesNewRoman,BoldItalic"/>
        </w:rPr>
        <w:t xml:space="preserve">szkolnictwo policealne, 5 </w:t>
      </w:r>
      <w:r>
        <w:t xml:space="preserve">– </w:t>
      </w:r>
      <w:r w:rsidRPr="00DC3D14">
        <w:rPr>
          <w:rFonts w:ascii="TimesNewRoman,BoldItalic" w:eastAsia="TimesNewRoman" w:hAnsi="TimesNewRoman,BoldItalic"/>
        </w:rPr>
        <w:t xml:space="preserve">szkolnictwo wyższe, 6 </w:t>
      </w:r>
      <w:r>
        <w:t xml:space="preserve">– </w:t>
      </w:r>
      <w:r w:rsidRPr="00DC3D14">
        <w:rPr>
          <w:rFonts w:ascii="TimesNewRoman,BoldItalic" w:eastAsia="TimesNewRoman" w:hAnsi="TimesNewRoman,BoldItalic"/>
        </w:rPr>
        <w:t>studia doktoranckie.</w:t>
      </w:r>
    </w:p>
  </w:footnote>
  <w:footnote w:id="4">
    <w:p w:rsidR="008D28DC" w:rsidRPr="003D78C2" w:rsidRDefault="008D28DC" w:rsidP="008D28DC">
      <w:pPr>
        <w:pStyle w:val="Tekstprzypisudolnego"/>
        <w:rPr>
          <w:lang w:val="en-US"/>
        </w:rPr>
      </w:pPr>
      <w:r w:rsidRPr="000F6CE0">
        <w:rPr>
          <w:rStyle w:val="Odwoanieprzypisudolnego"/>
        </w:rPr>
        <w:footnoteRef/>
      </w:r>
      <w:r w:rsidRPr="003D78C2">
        <w:rPr>
          <w:lang w:val="en-US"/>
        </w:rPr>
        <w:t xml:space="preserve"> </w:t>
      </w:r>
      <w:r w:rsidRPr="003D78C2">
        <w:rPr>
          <w:i/>
          <w:iCs/>
          <w:lang w:val="en-US"/>
        </w:rPr>
        <w:t>Future Skill Needs in Europe. Medium-term Forecast Synthesis Report</w:t>
      </w:r>
      <w:r w:rsidRPr="003D78C2">
        <w:rPr>
          <w:iCs/>
          <w:lang w:val="en-US"/>
        </w:rPr>
        <w:t>,</w:t>
      </w:r>
      <w:r w:rsidRPr="003D78C2">
        <w:rPr>
          <w:i/>
          <w:iCs/>
          <w:lang w:val="en-US"/>
        </w:rPr>
        <w:t xml:space="preserve"> </w:t>
      </w:r>
      <w:r w:rsidRPr="003D78C2">
        <w:rPr>
          <w:lang w:val="en-US"/>
        </w:rPr>
        <w:t>CEDEFOP, Luxembourg 2008.</w:t>
      </w:r>
    </w:p>
  </w:footnote>
  <w:footnote w:id="5">
    <w:p w:rsidR="008D28DC" w:rsidRPr="00533BBA" w:rsidRDefault="008D28DC" w:rsidP="008D28DC">
      <w:pPr>
        <w:pStyle w:val="Tekstprzypisudolnego"/>
      </w:pPr>
      <w:r w:rsidRPr="00533BBA">
        <w:rPr>
          <w:rStyle w:val="Odwoanieprzypisudolnego"/>
        </w:rPr>
        <w:footnoteRef/>
      </w:r>
      <w:r w:rsidRPr="00533BBA">
        <w:t xml:space="preserve"> Jest to m.in. efekt uznania konieczności wzrostu </w:t>
      </w:r>
      <w:r>
        <w:t>dostępu i uczestnictwa kobiet w obrębie</w:t>
      </w:r>
      <w:r w:rsidRPr="00533BBA">
        <w:t xml:space="preserve"> rynku pracy jako jednego z pięciu filarów Europejskiej Strategii Zatrudnienia. Na realizację idei ESZ w poszczególnych krajach członkowskich Unii mogą być wykorzystywane m.in. środki w ramach funduszy strukturalnych, pochodzące z Europejskiego Funduszu Społecznego. Polska korzysta z tego przywileju od 2004 r.</w:t>
      </w:r>
    </w:p>
  </w:footnote>
  <w:footnote w:id="6">
    <w:p w:rsidR="008D28DC" w:rsidRPr="00213558" w:rsidRDefault="008D28DC" w:rsidP="008D28DC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183D92">
        <w:rPr>
          <w:rStyle w:val="Odwoanieprzypisudolnego"/>
        </w:rPr>
        <w:footnoteRef/>
      </w:r>
      <w:r w:rsidRPr="00183D92">
        <w:rPr>
          <w:rFonts w:ascii="Times New Roman" w:hAnsi="Times New Roman"/>
          <w:sz w:val="20"/>
          <w:szCs w:val="20"/>
        </w:rPr>
        <w:t xml:space="preserve"> </w:t>
      </w:r>
      <w:r w:rsidRPr="00183D92">
        <w:rPr>
          <w:rFonts w:ascii="Times New Roman" w:hAnsi="Times New Roman"/>
          <w:i/>
          <w:sz w:val="20"/>
          <w:szCs w:val="20"/>
          <w:lang w:bidi="he-IL"/>
        </w:rPr>
        <w:t>Zmiany na rynku edukacji ekonomicznej w Polsce w latach dziewięćdziesiątych</w:t>
      </w:r>
      <w:r w:rsidRPr="00183D92">
        <w:rPr>
          <w:rFonts w:ascii="Times New Roman" w:hAnsi="Times New Roman"/>
          <w:sz w:val="20"/>
          <w:szCs w:val="20"/>
          <w:lang w:bidi="he-IL"/>
        </w:rPr>
        <w:t xml:space="preserve">, red. </w:t>
      </w:r>
      <w:r>
        <w:rPr>
          <w:rFonts w:ascii="Times New Roman" w:hAnsi="Times New Roman"/>
          <w:sz w:val="20"/>
          <w:szCs w:val="20"/>
          <w:lang w:bidi="he-IL"/>
        </w:rPr>
        <w:t>B. Minkiewicz</w:t>
      </w:r>
      <w:r w:rsidRPr="00183D92">
        <w:rPr>
          <w:rFonts w:ascii="Times New Roman" w:hAnsi="Times New Roman"/>
          <w:sz w:val="20"/>
          <w:szCs w:val="20"/>
          <w:lang w:bidi="he-IL"/>
        </w:rPr>
        <w:t>, BKKK Fun</w:t>
      </w:r>
      <w:r>
        <w:rPr>
          <w:rFonts w:ascii="Times New Roman" w:hAnsi="Times New Roman"/>
          <w:sz w:val="20"/>
          <w:szCs w:val="20"/>
          <w:lang w:bidi="he-IL"/>
        </w:rPr>
        <w:t>dusz Współpracy, Warszawa 2001.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E4" w:rsidRPr="00FC1BE4" w:rsidRDefault="008D28DC">
    <w:pPr>
      <w:pStyle w:val="Nagwek"/>
      <w:rPr>
        <w:rFonts w:ascii="Times New Roman" w:hAnsi="Times New Roman"/>
      </w:rPr>
    </w:pPr>
    <w:sdt>
      <w:sdtPr>
        <w:rPr>
          <w:rFonts w:ascii="Times New Roman" w:hAnsi="Times New Roman"/>
        </w:rPr>
        <w:id w:val="27121176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8DC" w:rsidRDefault="008D28D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8497F" w:rsidRPr="0018497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9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frrwIAAJ4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nCEkaAdtOgOEjTy4ddPgya2PkOvU3C77++UZaj7W1k+aCTksqFiw66VkkPDaAVZhdbff/HA&#10;GhqeovXwSVYAT7dGulLta9VZQCgC2ruOPJ46wvYGlXA4DRMygb6VcBWF8SQEw4ag6fF1r7T5wGSH&#10;7CbDCjru0OnuVpvR9ehigwlZ8LaFc5pCDHA57MZm/UiCZBWvYuKRaLbySJDn3nWxJN6sCOfTfJIv&#10;l3n4ZPFDkja8qpiwcEfhhOTPGnOQ8Njyk3S0bHll4WxKWm3Wy1ahHQXhFu47ED9z81+m4eoCrF5R&#10;CiMS3ESJV8ziuUcKMvWSeRB7QZjcJLOAJCQvXlK65YL9OyU0ZDiZRlPXjbOkX3EL3PeWG007bmA0&#10;tLzLcHxyoqmV2kpUroWG8nbcn5XCpv9cCpDKsdFOmFaLo6bNfr0HFCvQtaweQaJKgoJAbTDPYGPX&#10;aA7mAOMhw/r7liqGUftRgNKTkBA7T5xBpvMIDHV+sz6/oaJsJEyd0iiMRmNpxim07RXfNBAuHAvV&#10;X8P/UXAn3efUDn8VDAHH7DCw7JQ5t53X81hd/AYAAP//AwBQSwMEFAAGAAgAAAAhAPJCsF7ZAAAA&#10;BAEAAA8AAABkcnMvZG93bnJldi54bWxMj8FqwzAQRO+F/oPYQm+N7KYE41oOodBLKYQmOeS4kbaW&#10;iSUZS07Uv++2l/YysMwy86ZZZzeIC02xD15BuShAkNfB9L5TcNi/PlQgYkJvcAieFHxRhHV7e9Ng&#10;bcLVf9BllzrBIT7WqMCmNNZSRm3JYVyEkTx7n2FymPicOmkmvHK4G+RjUaykw95zg8WRXizp8252&#10;CvarfNR5Ppb0rqtOI22te9sqdX+XN88gEuX09ww/+IwOLTOdwuxNFIMCHpJ+lb2q5BUnBcunZQWy&#10;beR/+PYbAAD//wMAUEsBAi0AFAAGAAgAAAAhALaDOJL+AAAA4QEAABMAAAAAAAAAAAAAAAAAAAAA&#10;AFtDb250ZW50X1R5cGVzXS54bWxQSwECLQAUAAYACAAAACEAOP0h/9YAAACUAQAACwAAAAAAAAAA&#10;AAAAAAAvAQAAX3JlbHMvLnJlbHNQSwECLQAUAAYACAAAACEAJSH3668CAACeBQAADgAAAAAAAAAA&#10;AAAAAAAuAgAAZHJzL2Uyb0RvYy54bWxQSwECLQAUAAYACAAAACEA8kKwXtkAAAAEAQAADwAAAAAA&#10;AAAAAAAAAAAJ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8D28DC" w:rsidRDefault="008D28D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8497F" w:rsidRPr="0018497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5D78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6FE17FDB" wp14:editId="38F2F24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76255"/>
          <wp:effectExtent l="0" t="0" r="0" b="0"/>
          <wp:wrapNone/>
          <wp:docPr id="1" name="Obraz 1" descr="INFO_fokus_SILVER T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_fokus_SILVER TE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492B"/>
    <w:multiLevelType w:val="hybridMultilevel"/>
    <w:tmpl w:val="93FA474A"/>
    <w:lvl w:ilvl="0" w:tplc="A8C64156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4"/>
    <w:rsid w:val="0018497F"/>
    <w:rsid w:val="0019607D"/>
    <w:rsid w:val="001C29F2"/>
    <w:rsid w:val="00225D78"/>
    <w:rsid w:val="008049AC"/>
    <w:rsid w:val="00822A56"/>
    <w:rsid w:val="008D28DC"/>
    <w:rsid w:val="008E2703"/>
    <w:rsid w:val="009120D9"/>
    <w:rsid w:val="0093320C"/>
    <w:rsid w:val="00C419A9"/>
    <w:rsid w:val="00D77C64"/>
    <w:rsid w:val="00D94930"/>
    <w:rsid w:val="00DD346A"/>
    <w:rsid w:val="00E212C2"/>
    <w:rsid w:val="00EC1E74"/>
    <w:rsid w:val="00F87980"/>
    <w:rsid w:val="00FC1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E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C1B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E4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93320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8D28DC"/>
    <w:pPr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28D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8D28D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8D28DC"/>
    <w:pPr>
      <w:jc w:val="both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28DC"/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E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C1B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E4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93320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8D28DC"/>
    <w:pPr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28D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8D28D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8D28DC"/>
    <w:pPr>
      <w:jc w:val="both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28DC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9235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ŻJ</cp:lastModifiedBy>
  <cp:revision>2</cp:revision>
  <cp:lastPrinted>2013-03-15T13:15:00Z</cp:lastPrinted>
  <dcterms:created xsi:type="dcterms:W3CDTF">2013-05-20T08:46:00Z</dcterms:created>
  <dcterms:modified xsi:type="dcterms:W3CDTF">2013-05-20T08:46:00Z</dcterms:modified>
</cp:coreProperties>
</file>